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2A" w:rsidRDefault="00C05C2A" w:rsidP="00C05C2A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Күні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Мөр орны</w:t>
      </w:r>
    </w:p>
    <w:p w:rsidR="00AB2185" w:rsidRDefault="00AB21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2185" w:rsidRDefault="00AB218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2185" w:rsidRDefault="00AB2185">
      <w:pPr>
        <w:sectPr w:rsidR="00AB2185">
          <w:type w:val="continuous"/>
          <w:pgSz w:w="11905" w:h="16837"/>
          <w:pgMar w:top="563" w:right="850" w:bottom="885" w:left="1133" w:header="0" w:footer="0" w:gutter="0"/>
          <w:cols w:space="708"/>
        </w:sectPr>
      </w:pPr>
    </w:p>
    <w:p w:rsidR="00AB2185" w:rsidRDefault="006D0E09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AB2185" w:rsidRDefault="006D0E09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AB2185" w:rsidRDefault="00AB2185">
      <w:pPr>
        <w:sectPr w:rsidR="00AB2185">
          <w:type w:val="continuous"/>
          <w:pgSz w:w="11905" w:h="16837"/>
          <w:pgMar w:top="563" w:right="850" w:bottom="885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AB2185" w:rsidRDefault="00AB2185">
      <w:pPr>
        <w:spacing w:after="16" w:line="140" w:lineRule="exact"/>
        <w:rPr>
          <w:sz w:val="14"/>
          <w:szCs w:val="14"/>
        </w:rPr>
      </w:pPr>
    </w:p>
    <w:p w:rsidR="00C05C2A" w:rsidRDefault="00C05C2A" w:rsidP="00C05C2A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және сапасы жөніндегі салыстырмалы есеп</w:t>
      </w:r>
    </w:p>
    <w:p w:rsidR="00AB2185" w:rsidRDefault="00AB21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2185" w:rsidRDefault="00AB21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2185" w:rsidRDefault="00AB21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2185" w:rsidRDefault="00AB21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2185" w:rsidRDefault="00AB21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2185" w:rsidRDefault="00AB21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2185" w:rsidRDefault="00AB2185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AB2185" w:rsidRDefault="006D0E09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1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AB2185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2185" w:rsidRDefault="00C05C2A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2185" w:rsidRDefault="00AB218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B2185" w:rsidRDefault="006D0E09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Эмопрок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spellEnd"/>
                                </w:p>
                              </w:tc>
                            </w:tr>
                            <w:tr w:rsidR="00AB218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2185" w:rsidRDefault="00C05C2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Өндірушісі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2185" w:rsidRDefault="006D0E0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УОРЛ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ТИД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3"/>
                                      <w:szCs w:val="23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B218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2185" w:rsidRPr="00C05C2A" w:rsidRDefault="00C05C2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Елі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2185" w:rsidRDefault="006D0E0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50289C" w:rsidRDefault="0050289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AB2185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2185" w:rsidRDefault="00C05C2A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2185" w:rsidRDefault="00AB218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B2185" w:rsidRDefault="006D0E09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Эмопрок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</w:p>
                        </w:tc>
                      </w:tr>
                      <w:tr w:rsidR="00AB218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2185" w:rsidRDefault="00C05C2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Өндірушісі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2185" w:rsidRDefault="006D0E0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УОРЛ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ТИД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3"/>
                                <w:szCs w:val="23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AB218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2185" w:rsidRPr="00C05C2A" w:rsidRDefault="00C05C2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Елі</w:t>
                            </w:r>
                            <w:proofErr w:type="spellEnd"/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2185" w:rsidRDefault="006D0E0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50289C" w:rsidRDefault="0050289C"/>
                  </w:txbxContent>
                </v:textbox>
                <w10:wrap anchorx="page"/>
              </v:shape>
            </w:pict>
          </mc:Fallback>
        </mc:AlternateContent>
      </w:r>
      <w:r w:rsidR="00C05C2A" w:rsidRPr="00C05C2A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C05C2A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алынып тасталды</w:t>
      </w:r>
    </w:p>
    <w:p w:rsidR="00AB2185" w:rsidRDefault="00AB21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2185" w:rsidRDefault="00AB2185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C05C2A" w:rsidRDefault="006D0E09" w:rsidP="00C05C2A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C05C2A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 туралы анықтамалық ақпарат</w:t>
      </w:r>
    </w:p>
    <w:p w:rsidR="00AB2185" w:rsidRDefault="00AB218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AB218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6D0E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дәрілік заттың сараптамасын жүргізуге тіркеу дерекнамасын беру</w:t>
            </w:r>
          </w:p>
        </w:tc>
      </w:tr>
    </w:tbl>
    <w:p w:rsidR="00AB2185" w:rsidRDefault="00AB2185">
      <w:pPr>
        <w:spacing w:after="3" w:line="220" w:lineRule="exact"/>
      </w:pPr>
    </w:p>
    <w:p w:rsidR="00AB2185" w:rsidRDefault="006D0E09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C05C2A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AB2185" w:rsidRDefault="00AB2185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AB218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6D0E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ілері</w:t>
            </w:r>
          </w:p>
        </w:tc>
      </w:tr>
      <w:tr w:rsidR="00AB2185" w:rsidTr="00C05C2A">
        <w:trPr>
          <w:cantSplit/>
          <w:trHeight w:hRule="exact" w:val="25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after="6" w:line="240" w:lineRule="exact"/>
              <w:rPr>
                <w:sz w:val="24"/>
                <w:szCs w:val="24"/>
              </w:rPr>
            </w:pPr>
          </w:p>
          <w:p w:rsidR="00AB2185" w:rsidRDefault="006D0E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Белсенді фармацевтикалық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шығу тегі, сапасы туралы мәліметтерді талдау және субстанцияны пайдалану мүмкіндігі туралы қорытындылар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 w:rsidP="00C05C2A">
            <w:pPr>
              <w:widowControl w:val="0"/>
              <w:tabs>
                <w:tab w:val="left" w:pos="1186"/>
                <w:tab w:val="left" w:pos="1815"/>
                <w:tab w:val="left" w:pos="2212"/>
                <w:tab w:val="left" w:pos="2877"/>
                <w:tab w:val="left" w:pos="3366"/>
                <w:tab w:val="left" w:pos="3665"/>
                <w:tab w:val="left" w:pos="4363"/>
                <w:tab w:val="left" w:pos="5311"/>
                <w:tab w:val="left" w:pos="577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лэт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ының субстанциясы қолданыстағы фармакопеяларда сипатталмаған (ҚР МФ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.0,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АҚШФ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) және өндірушінің спецификациясына сәйкес бақыланады. Субстанцияның құрылымы физика-химиялық әдістермен расталған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ИК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коп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    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масс     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-27"/>
                <w:sz w:val="23"/>
                <w:szCs w:val="23"/>
              </w:rPr>
              <w:t xml:space="preserve"> 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ект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оме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6D0E09"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Үш соңғы серияларға ұсынылған талдау сертификаттары сапаның тұрақтылығын дәлелдейді және өнімнің біртектілігі сериядан серияға дейін сақталады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AB2185">
        <w:trPr>
          <w:cantSplit/>
          <w:trHeight w:hRule="exact" w:val="29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140" w:lineRule="exact"/>
              <w:rPr>
                <w:sz w:val="14"/>
                <w:szCs w:val="14"/>
              </w:rPr>
            </w:pPr>
          </w:p>
          <w:p w:rsidR="00AB2185" w:rsidRDefault="006D0E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Қосымша заттар: пайдалануға рұқсат туралы қорытындымен сапасы, мөлшері туралы мәліметтерді 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6D0E09" w:rsidP="00C05C2A">
            <w:pPr>
              <w:widowControl w:val="0"/>
              <w:tabs>
                <w:tab w:val="left" w:pos="828"/>
                <w:tab w:val="left" w:pos="1504"/>
                <w:tab w:val="left" w:pos="2802"/>
                <w:tab w:val="left" w:pos="3217"/>
                <w:tab w:val="left" w:pos="4011"/>
                <w:tab w:val="left" w:pos="4902"/>
                <w:tab w:val="left" w:pos="527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 w:rsidR="00C05C2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C05C2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 w:rsidR="00C05C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кали</w:t>
            </w:r>
            <w:r w:rsidR="00C05C2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игид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proofErr w:type="spellEnd"/>
            <w:r w:rsidR="00C05C2A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гипр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лоз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C05C2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 w:rsidR="00C05C2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натри</w:t>
            </w:r>
            <w:r w:rsidR="00C05C2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="00C05C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 сусыз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C05C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инъекцияға арналған су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C05C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фармакопеялық сападағы қосымша заттар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C05C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Өндірушілерден ұсынылған талдау сертификаттары фармакопеяның талаптарын реттейді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C05C2A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ҚР МФ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9.0).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 w:rsidR="00C05C2A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Қ</w:t>
            </w:r>
            <w:r w:rsidR="00C05C2A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ұрамы жүргізілген фармацевтикалық өңдеу барысында іріктеп алынған, компоненттердің үйлесімділігі тұрақтылығын зерттеу бойынша деректермен расталған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AB218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6D0E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:rsidR="00AB2185" w:rsidRDefault="00AB2185">
      <w:pPr>
        <w:sectPr w:rsidR="00AB2185">
          <w:type w:val="continuous"/>
          <w:pgSz w:w="11905" w:h="16837"/>
          <w:pgMar w:top="563" w:right="850" w:bottom="885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AB2185" w:rsidTr="00C05C2A">
        <w:trPr>
          <w:cantSplit/>
          <w:trHeight w:hRule="exact" w:val="2097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 туралы қорытынды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>
            <w:pPr>
              <w:spacing w:after="14" w:line="200" w:lineRule="exact"/>
              <w:rPr>
                <w:sz w:val="20"/>
                <w:szCs w:val="20"/>
              </w:rPr>
            </w:pPr>
          </w:p>
          <w:p w:rsidR="00AB2185" w:rsidRDefault="00C05C2A" w:rsidP="00C05C2A">
            <w:pPr>
              <w:widowControl w:val="0"/>
              <w:spacing w:line="240" w:lineRule="auto"/>
              <w:ind w:left="60" w:right="1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Өндірістік процесс бойынша ақпарат толық көлемде ұсынылған.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AB2185" w:rsidTr="00C05C2A">
        <w:trPr>
          <w:cantSplit/>
          <w:trHeight w:hRule="exact" w:val="231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>
            <w:pPr>
              <w:spacing w:after="14" w:line="200" w:lineRule="exact"/>
              <w:rPr>
                <w:sz w:val="20"/>
                <w:szCs w:val="20"/>
              </w:rPr>
            </w:pPr>
          </w:p>
          <w:p w:rsidR="00AB2185" w:rsidRDefault="00C8620D" w:rsidP="00C8620D">
            <w:pPr>
              <w:widowControl w:val="0"/>
              <w:spacing w:line="240" w:lineRule="auto"/>
              <w:ind w:left="60" w:right="7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Дайын препаратқа спецификация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талаптарына сәйкес жасалған.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</w:t>
            </w:r>
            <w:r w:rsidR="006D0E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AB2185" w:rsidTr="00C05C2A">
        <w:trPr>
          <w:cantSplit/>
          <w:trHeight w:hRule="exact" w:val="2851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Тұрақтылығы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>
            <w:pPr>
              <w:spacing w:after="14" w:line="200" w:lineRule="exact"/>
              <w:rPr>
                <w:sz w:val="20"/>
                <w:szCs w:val="20"/>
              </w:rPr>
            </w:pPr>
          </w:p>
          <w:p w:rsidR="00C8620D" w:rsidRPr="00C8620D" w:rsidRDefault="00C8620D">
            <w:pPr>
              <w:widowControl w:val="0"/>
              <w:spacing w:line="240" w:lineRule="auto"/>
              <w:ind w:left="60" w:right="214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Препараттың үлгілері мәлімделген қаптамадағы тұратылықты зерттеу негізіне салынған. Ұзақ мерзімді және жылдамдатылған сынақтардың нәтижелері дайын өнімнің сапа көрсеткіштерінің елеулі өзгерістерін көрсетпейді және шартты сақтау мерзімі 3 жылды белгілеу үшін жарамды. </w:t>
            </w:r>
          </w:p>
          <w:p w:rsidR="00AB2185" w:rsidRDefault="00AB2185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185" w:rsidRDefault="00C8620D" w:rsidP="00C8620D">
            <w:pPr>
              <w:widowControl w:val="0"/>
              <w:spacing w:line="240" w:lineRule="auto"/>
              <w:ind w:left="60" w:right="5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Құтыны ашқаннан кейін қолдану кезеңі (4 апта) тұрақтылық бойынша деректермен расталған. </w:t>
            </w:r>
          </w:p>
        </w:tc>
      </w:tr>
      <w:tr w:rsidR="00C05C2A" w:rsidTr="00C05C2A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C2A" w:rsidRDefault="00C05C2A" w:rsidP="00C05C2A">
            <w:pPr>
              <w:spacing w:after="14"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C2A" w:rsidRDefault="00C05C2A" w:rsidP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C2A" w:rsidRDefault="00C05C2A" w:rsidP="00C05C2A">
            <w:pPr>
              <w:spacing w:after="14" w:line="200" w:lineRule="exact"/>
              <w:rPr>
                <w:sz w:val="20"/>
                <w:szCs w:val="20"/>
              </w:rPr>
            </w:pPr>
          </w:p>
          <w:p w:rsidR="00C05C2A" w:rsidRDefault="00C8620D" w:rsidP="00C05C2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қолданылмайды</w:t>
            </w:r>
          </w:p>
        </w:tc>
      </w:tr>
      <w:tr w:rsidR="00C05C2A" w:rsidTr="00C05C2A">
        <w:trPr>
          <w:cantSplit/>
          <w:trHeight w:hRule="exact" w:val="52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C2A" w:rsidRDefault="00C05C2A" w:rsidP="00C05C2A">
            <w:pPr>
              <w:spacing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spacing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spacing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spacing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spacing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spacing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spacing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spacing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spacing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spacing w:after="79" w:line="240" w:lineRule="exact"/>
              <w:rPr>
                <w:sz w:val="24"/>
                <w:szCs w:val="24"/>
              </w:rPr>
            </w:pPr>
          </w:p>
          <w:p w:rsidR="00C05C2A" w:rsidRDefault="00C05C2A" w:rsidP="00C05C2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C2A" w:rsidRDefault="00C05C2A" w:rsidP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калық аспектілер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C2A" w:rsidRDefault="00C05C2A" w:rsidP="00C05C2A">
            <w:pPr>
              <w:spacing w:after="14" w:line="200" w:lineRule="exact"/>
              <w:rPr>
                <w:sz w:val="20"/>
                <w:szCs w:val="20"/>
              </w:rPr>
            </w:pPr>
          </w:p>
          <w:p w:rsidR="00C8620D" w:rsidRPr="00C8620D" w:rsidRDefault="00C8620D" w:rsidP="00C05C2A">
            <w:pPr>
              <w:widowControl w:val="0"/>
              <w:spacing w:line="240" w:lineRule="auto"/>
              <w:ind w:left="60" w:right="226"/>
              <w:rPr>
                <w:rFonts w:ascii="Times New Roman" w:eastAsia="Times New Roman" w:hAnsi="Times New Roman" w:cs="Times New Roman"/>
                <w:color w:val="070000"/>
                <w:spacing w:val="2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70000"/>
                <w:spacing w:val="2"/>
                <w:sz w:val="23"/>
                <w:szCs w:val="23"/>
                <w:lang w:val="kk-KZ"/>
              </w:rPr>
              <w:t xml:space="preserve">Препарат генерикалық болып табылатыны, белсенді және қосымша заттардың құрамы түпнұсқалық препаратпен бірдей екендігі туралы хат ұсынылған, препарат </w:t>
            </w:r>
            <w:r>
              <w:rPr>
                <w:rFonts w:ascii="Times New Roman" w:eastAsia="Times New Roman" w:hAnsi="Times New Roman" w:cs="Times New Roman"/>
                <w:color w:val="070000"/>
                <w:spacing w:val="3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70000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7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7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7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7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70000"/>
                <w:spacing w:val="4"/>
                <w:sz w:val="23"/>
                <w:szCs w:val="23"/>
                <w:lang w:val="kk-KZ"/>
              </w:rPr>
              <w:t xml:space="preserve">үркия </w:t>
            </w:r>
            <w:r>
              <w:rPr>
                <w:rFonts w:ascii="Times New Roman" w:eastAsia="Times New Roman" w:hAnsi="Times New Roman" w:cs="Times New Roman"/>
                <w:color w:val="070000"/>
                <w:spacing w:val="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7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70000"/>
                <w:spacing w:val="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70000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70000"/>
                <w:spacing w:val="1"/>
                <w:sz w:val="23"/>
                <w:szCs w:val="23"/>
                <w:lang w:val="kk-KZ"/>
              </w:rPr>
              <w:t xml:space="preserve"> құрамына кіреді</w:t>
            </w:r>
            <w:r>
              <w:rPr>
                <w:rFonts w:ascii="Times New Roman" w:eastAsia="Times New Roman" w:hAnsi="Times New Roman" w:cs="Times New Roman"/>
                <w:color w:val="070000"/>
                <w:spacing w:val="-2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70000"/>
                <w:spacing w:val="-2"/>
                <w:sz w:val="23"/>
                <w:szCs w:val="23"/>
                <w:lang w:val="kk-KZ"/>
              </w:rPr>
              <w:t xml:space="preserve"> жағдайында өндірілген. </w:t>
            </w:r>
          </w:p>
          <w:p w:rsidR="00C05C2A" w:rsidRDefault="00C05C2A" w:rsidP="00C05C2A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5C2A" w:rsidRDefault="00C8620D" w:rsidP="00C05C2A">
            <w:pPr>
              <w:widowControl w:val="0"/>
              <w:spacing w:line="240" w:lineRule="auto"/>
              <w:ind w:left="60" w:right="675" w:firstLine="58"/>
              <w:rPr>
                <w:rFonts w:ascii="Times New Roman" w:eastAsia="Times New Roman" w:hAnsi="Times New Roman" w:cs="Times New Roman"/>
                <w:color w:val="07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val="kk-KZ"/>
              </w:rPr>
              <w:t>«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Дәрілік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заттарға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,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медициналық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мақсаттағы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бұйымдар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мен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медициналық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техникаға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сараптама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жүргізу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ережесін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бекіту</w:t>
            </w:r>
            <w:proofErr w:type="spellEnd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val="kk-KZ"/>
              </w:rPr>
              <w:t>»</w:t>
            </w:r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№ 736 </w:t>
            </w:r>
            <w:proofErr w:type="spellStart"/>
            <w:r w:rsidRPr="00683FAC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бұйрығы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val="kk-KZ"/>
              </w:rPr>
              <w:t xml:space="preserve">ның 25-тармағына сәйкес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Фармацевтикалық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инспекциялар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ынтымақтастығының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халықаралық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жүйесі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(РІC/S)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тиісті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өндірістік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практикасына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өндірісінің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сәйкестігін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растайтын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құжаты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бар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өтініш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берушіден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117B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ин виво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баламалылығын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зерттеу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есептерін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ұсыну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референтті препаратпен салыстырылатын концентрацияда бірдей немесе ұқсас қосымша заттармен референтті препаратпен бірдей сапалы және сандық құрамы бар </w:t>
            </w:r>
            <w:r w:rsidRPr="00E117B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сулы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ерітінділер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түріндегі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ішуге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арналған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дәрілік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заттар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ға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талап</w:t>
            </w:r>
            <w:proofErr w:type="spellEnd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17BE">
              <w:rPr>
                <w:rFonts w:ascii="Times New Roman" w:hAnsi="Times New Roman" w:cs="Times New Roman"/>
                <w:sz w:val="23"/>
                <w:szCs w:val="23"/>
              </w:rPr>
              <w:t>етілмейді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="00C05C2A">
              <w:rPr>
                <w:rFonts w:ascii="Times New Roman" w:eastAsia="Times New Roman" w:hAnsi="Times New Roman" w:cs="Times New Roman"/>
                <w:color w:val="070000"/>
                <w:sz w:val="23"/>
                <w:szCs w:val="23"/>
              </w:rPr>
              <w:t>.</w:t>
            </w:r>
          </w:p>
        </w:tc>
      </w:tr>
      <w:tr w:rsidR="00AB2185" w:rsidTr="00C05C2A">
        <w:trPr>
          <w:cantSplit/>
          <w:trHeight w:hRule="exact" w:val="18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line="240" w:lineRule="exact"/>
              <w:rPr>
                <w:sz w:val="24"/>
                <w:szCs w:val="24"/>
              </w:rPr>
            </w:pPr>
          </w:p>
          <w:p w:rsidR="00AB2185" w:rsidRDefault="00AB2185">
            <w:pPr>
              <w:spacing w:after="67" w:line="240" w:lineRule="exact"/>
              <w:rPr>
                <w:sz w:val="24"/>
                <w:szCs w:val="24"/>
              </w:rPr>
            </w:pPr>
          </w:p>
          <w:p w:rsidR="00AB2185" w:rsidRDefault="006D0E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8620D" w:rsidP="00C8620D">
            <w:pPr>
              <w:widowControl w:val="0"/>
              <w:tabs>
                <w:tab w:val="left" w:pos="681"/>
                <w:tab w:val="left" w:pos="1722"/>
                <w:tab w:val="left" w:pos="2244"/>
                <w:tab w:val="left" w:pos="3477"/>
                <w:tab w:val="left" w:pos="4224"/>
                <w:tab w:val="left" w:pos="5321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Ұсынылған деректердің нәтижелері бойынша референтті препараттың баламалылығы дәлелденген, препараттың бейіні «пайда-қауіп» арақатынасын ескере отырып оң болып табылады.   </w:t>
            </w:r>
          </w:p>
        </w:tc>
      </w:tr>
      <w:tr w:rsidR="00AB218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6D0E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Фармакологиялық қадағалау</w:t>
            </w:r>
          </w:p>
        </w:tc>
      </w:tr>
    </w:tbl>
    <w:p w:rsidR="00AB2185" w:rsidRDefault="00AB2185">
      <w:pPr>
        <w:sectPr w:rsidR="00AB2185">
          <w:pgSz w:w="11905" w:h="16837"/>
          <w:pgMar w:top="560" w:right="850" w:bottom="749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AB2185">
        <w:trPr>
          <w:cantSplit/>
          <w:trHeight w:hRule="exact" w:val="4433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>
            <w:pPr>
              <w:spacing w:after="14" w:line="200" w:lineRule="exact"/>
              <w:rPr>
                <w:sz w:val="20"/>
                <w:szCs w:val="20"/>
              </w:rPr>
            </w:pPr>
          </w:p>
          <w:p w:rsidR="00C8620D" w:rsidRPr="00C8620D" w:rsidRDefault="00C8620D">
            <w:pPr>
              <w:widowControl w:val="0"/>
              <w:spacing w:line="240" w:lineRule="auto"/>
              <w:ind w:left="60" w:right="82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Фармакологиялық қадағалау жүйесі ақпаратты жинауды және бағалауды орындауға бейімделген, және Қазақстан Республикасының аумағында қолданыстағы заңнамаға сәйкес келеді. Мастер-файл тіркеу куәлігін ұстаушының фармакологиялық қадағалау бойынша қызметін жоспарлауды және жүргізуді тиісті түрде іске асыруға мүмкіндік береді. Мастер-файл тіркеу куәлігін ұстаушының фармакологиялық қадағалау жүйесін шолуды қамтиды, бұл тіркеу кезеңінде оны жалпы бағалауға мүмкіндік береді. </w:t>
            </w:r>
          </w:p>
          <w:p w:rsidR="00AB2185" w:rsidRPr="00C8620D" w:rsidRDefault="00AB2185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620D" w:rsidRDefault="00C8620D">
            <w:pPr>
              <w:widowControl w:val="0"/>
              <w:spacing w:line="240" w:lineRule="auto"/>
              <w:ind w:left="60" w:right="51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Тіркеу куәлігін ұстаушының құрамында Қазақстан Республикасында жергілікті фармакологиялық қадағалауға жауапты тұлғасы бар. Растайтын құжаттар ұсынылған. </w:t>
            </w:r>
          </w:p>
          <w:p w:rsidR="00AB2185" w:rsidRDefault="00AB2185">
            <w:pPr>
              <w:widowControl w:val="0"/>
              <w:spacing w:line="240" w:lineRule="auto"/>
              <w:ind w:left="60" w:righ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AB2185" w:rsidTr="00C05C2A">
        <w:trPr>
          <w:cantSplit/>
          <w:trHeight w:hRule="exact" w:val="96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/>
        </w:tc>
      </w:tr>
      <w:tr w:rsidR="00AB2185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>
            <w:pPr>
              <w:spacing w:after="14" w:line="240" w:lineRule="exact"/>
              <w:rPr>
                <w:sz w:val="24"/>
                <w:szCs w:val="24"/>
              </w:rPr>
            </w:pPr>
          </w:p>
          <w:p w:rsidR="00AB2185" w:rsidRDefault="006D0E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C05C2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Босатылу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5" w:rsidRDefault="00AB2185">
            <w:pPr>
              <w:spacing w:after="15" w:line="200" w:lineRule="exact"/>
              <w:rPr>
                <w:sz w:val="20"/>
                <w:szCs w:val="20"/>
              </w:rPr>
            </w:pPr>
          </w:p>
          <w:p w:rsidR="00AB2185" w:rsidRPr="00C05C2A" w:rsidRDefault="00C05C2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</w:p>
        </w:tc>
      </w:tr>
    </w:tbl>
    <w:p w:rsidR="00AB2185" w:rsidRDefault="006D0E09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B2185" w:rsidRPr="006D0E09" w:rsidRDefault="006D0E09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D0E0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AB2185" w:rsidRPr="006D0E09" w:rsidRDefault="006D0E09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D0E09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AB2185" w:rsidRPr="006D0E09" w:rsidRDefault="00C8620D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4">
                              <w:r w:rsidR="006D0E09" w:rsidRPr="006D0E09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AB2185" w:rsidRPr="006D0E09" w:rsidRDefault="006D0E09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D0E0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AB2185" w:rsidRPr="006D0E09" w:rsidRDefault="006D0E09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D0E09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AB2185" w:rsidRPr="006D0E09" w:rsidRDefault="00C8620D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5">
                        <w:r w:rsidR="006D0E09" w:rsidRPr="006D0E09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B218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85"/>
    <w:rsid w:val="0050289C"/>
    <w:rsid w:val="006D0E09"/>
    <w:rsid w:val="00AB2185"/>
    <w:rsid w:val="00BD1BD1"/>
    <w:rsid w:val="00C05C2A"/>
    <w:rsid w:val="00C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0D9C8-8439-4810-97B7-B8942361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hyperlink" Target="https://www.sautinsoft.com/products/pdf-focus/ord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Толегенова Айым Алыбеккызы</dc:creator>
  <cp:lastModifiedBy>PC</cp:lastModifiedBy>
  <cp:revision>5</cp:revision>
  <dcterms:created xsi:type="dcterms:W3CDTF">2019-07-15T03:20:00Z</dcterms:created>
  <dcterms:modified xsi:type="dcterms:W3CDTF">2019-07-16T05:03:00Z</dcterms:modified>
</cp:coreProperties>
</file>